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F0454" w14:textId="259A6107" w:rsidR="006722D3" w:rsidRDefault="006722D3" w:rsidP="006722D3">
      <w:pPr>
        <w:pStyle w:val="Heading1"/>
        <w:rPr>
          <w:rStyle w:val="SubtleEmphasis"/>
          <w:i w:val="0"/>
          <w:iCs w:val="0"/>
          <w:color w:val="7FA9AE"/>
        </w:rPr>
      </w:pPr>
      <w:r w:rsidRPr="032F0BB8">
        <w:rPr>
          <w:rStyle w:val="SubtleEmphasis"/>
          <w:i w:val="0"/>
          <w:iCs w:val="0"/>
          <w:color w:val="7FA9AE"/>
        </w:rPr>
        <w:t>Chapter 3</w:t>
      </w:r>
      <w:r w:rsidR="003E1017">
        <w:rPr>
          <w:rStyle w:val="SubtleEmphasis"/>
          <w:i w:val="0"/>
          <w:iCs w:val="0"/>
          <w:color w:val="7FA9AE"/>
        </w:rPr>
        <w:t xml:space="preserve"> </w:t>
      </w:r>
      <w:r w:rsidRPr="032F0BB8">
        <w:rPr>
          <w:rStyle w:val="SubtleEmphasis"/>
          <w:i w:val="0"/>
          <w:iCs w:val="0"/>
          <w:color w:val="7FA9AE"/>
        </w:rPr>
        <w:t>: Dispensation Trends</w:t>
      </w:r>
    </w:p>
    <w:p w14:paraId="10A39D5C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 overall – Quarterly by Health Region:</w:t>
      </w:r>
    </w:p>
    <w:p w14:paraId="6FD87F3A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Dispensations by Age groups - crude</w:t>
      </w:r>
    </w:p>
    <w:p w14:paraId="5F95C5BC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Dispensations compared with MB population</w:t>
      </w:r>
    </w:p>
    <w:p w14:paraId="0FCFAC45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All ages - adjusted rates</w:t>
      </w:r>
    </w:p>
    <w:p w14:paraId="2D1086EB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Adults – Crude and adjusted rates</w:t>
      </w:r>
    </w:p>
    <w:p w14:paraId="6E14B385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Children - Crude and adjusted rates</w:t>
      </w:r>
    </w:p>
    <w:p w14:paraId="2B37E077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J01A – Quarterly:</w:t>
      </w:r>
    </w:p>
    <w:p w14:paraId="19AB057B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All ages – crude rates</w:t>
      </w:r>
    </w:p>
    <w:p w14:paraId="50FE07C4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3C7CBA01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J01C – Quarterly:</w:t>
      </w:r>
    </w:p>
    <w:p w14:paraId="17F87D00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All ages – crude rates</w:t>
      </w:r>
    </w:p>
    <w:p w14:paraId="32E02B2A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5CE4ACA5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Children - Crude and adjusted rates</w:t>
      </w:r>
    </w:p>
    <w:p w14:paraId="4BC00D3C" w14:textId="77777777" w:rsidR="00E85C96" w:rsidRPr="00E85C96" w:rsidRDefault="00E85C96" w:rsidP="00E85C96">
      <w:pPr>
        <w:pStyle w:val="ListParagraph"/>
        <w:numPr>
          <w:ilvl w:val="1"/>
          <w:numId w:val="15"/>
        </w:numPr>
        <w:ind w:left="720" w:firstLine="360"/>
      </w:pPr>
      <w:r w:rsidRPr="00E85C96">
        <w:t xml:space="preserve">The above data are also available for the following sub classes: </w:t>
      </w:r>
    </w:p>
    <w:p w14:paraId="21C881BA" w14:textId="77777777" w:rsidR="00E85C96" w:rsidRPr="00E85C96" w:rsidRDefault="00E85C96" w:rsidP="00E85C96">
      <w:pPr>
        <w:pStyle w:val="ListParagraph"/>
        <w:numPr>
          <w:ilvl w:val="2"/>
          <w:numId w:val="15"/>
        </w:numPr>
      </w:pPr>
      <w:r w:rsidRPr="00E85C96">
        <w:t xml:space="preserve">J01CA, J01CE, J01CF, and J01CR. </w:t>
      </w:r>
    </w:p>
    <w:p w14:paraId="242588A0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J01D</w:t>
      </w:r>
    </w:p>
    <w:p w14:paraId="4EF7239D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All ages – crude rates</w:t>
      </w:r>
    </w:p>
    <w:p w14:paraId="7A1E0E6E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6E1C8E57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Children - Crude and adjusted rates</w:t>
      </w:r>
    </w:p>
    <w:p w14:paraId="588D8D86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 xml:space="preserve">Crude rates by age are available for the following sub classes: </w:t>
      </w:r>
    </w:p>
    <w:p w14:paraId="497B3980" w14:textId="77777777" w:rsidR="00E85C96" w:rsidRPr="00E85C96" w:rsidRDefault="00E85C96" w:rsidP="00E85C96">
      <w:pPr>
        <w:pStyle w:val="ListParagraph"/>
        <w:numPr>
          <w:ilvl w:val="2"/>
          <w:numId w:val="15"/>
        </w:numPr>
      </w:pPr>
      <w:r w:rsidRPr="00E85C96">
        <w:t>J01DB, and J01DC</w:t>
      </w:r>
    </w:p>
    <w:p w14:paraId="1759CBF4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J01E – Quarterly:</w:t>
      </w:r>
    </w:p>
    <w:p w14:paraId="6AF20B0E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All ages – crude rates</w:t>
      </w:r>
    </w:p>
    <w:p w14:paraId="629F19DC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0CAFFDD8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Children - Crude and adjusted rates</w:t>
      </w:r>
    </w:p>
    <w:p w14:paraId="56A9F0AE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J01F – Quarterly:</w:t>
      </w:r>
    </w:p>
    <w:p w14:paraId="5083194E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All ages – crude rates</w:t>
      </w:r>
    </w:p>
    <w:p w14:paraId="506E93DC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3D2B468C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Children - Crude and adjusted rates</w:t>
      </w:r>
    </w:p>
    <w:p w14:paraId="403E4AB7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J01M – Quarterly:</w:t>
      </w:r>
    </w:p>
    <w:p w14:paraId="30C530DD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Adults – crude rates</w:t>
      </w:r>
    </w:p>
    <w:p w14:paraId="17F054B8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79EEE6CA" w14:textId="77777777" w:rsidR="00E85C96" w:rsidRPr="00E85C96" w:rsidRDefault="00E85C96" w:rsidP="00E85C96">
      <w:pPr>
        <w:pStyle w:val="ListParagraph"/>
        <w:numPr>
          <w:ilvl w:val="0"/>
          <w:numId w:val="15"/>
        </w:numPr>
      </w:pPr>
      <w:r w:rsidRPr="00E85C96">
        <w:t>J01X – Quarterly:</w:t>
      </w:r>
    </w:p>
    <w:p w14:paraId="5D18CC51" w14:textId="77777777" w:rsidR="00E85C96" w:rsidRPr="00E85C96" w:rsidRDefault="00E85C96" w:rsidP="00E85C96">
      <w:pPr>
        <w:pStyle w:val="ListParagraph"/>
        <w:numPr>
          <w:ilvl w:val="1"/>
          <w:numId w:val="15"/>
        </w:numPr>
      </w:pPr>
      <w:r w:rsidRPr="00E85C96">
        <w:t>MB – Adults – crude rates</w:t>
      </w:r>
    </w:p>
    <w:p w14:paraId="1B631FDC" w14:textId="1965751A" w:rsidR="00E85C96" w:rsidRDefault="00E85C96" w:rsidP="00E85C96">
      <w:pPr>
        <w:pStyle w:val="ListParagraph"/>
        <w:numPr>
          <w:ilvl w:val="1"/>
          <w:numId w:val="15"/>
        </w:numPr>
      </w:pPr>
      <w:r w:rsidRPr="00E85C96">
        <w:t>By Health Region – Adults - Crude and adjusted rates</w:t>
      </w:r>
    </w:p>
    <w:p w14:paraId="644A381E" w14:textId="1C03C2DF" w:rsidR="00E94E37" w:rsidRPr="00E85C96" w:rsidRDefault="00E94E37" w:rsidP="003E1017">
      <w:pPr>
        <w:pStyle w:val="ListParagraph"/>
        <w:numPr>
          <w:ilvl w:val="1"/>
          <w:numId w:val="15"/>
        </w:numPr>
      </w:pPr>
      <w:r w:rsidRPr="00E94E37">
        <w:t>Subclass J01XE01 – Annual – MB – Adults - crude rates</w:t>
      </w:r>
    </w:p>
    <w:sectPr w:rsidR="00E94E37" w:rsidRPr="00E85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8E36" w14:textId="77777777" w:rsidR="004C7EEA" w:rsidRDefault="004C7EEA" w:rsidP="00C41B0F">
      <w:pPr>
        <w:spacing w:after="0" w:line="240" w:lineRule="auto"/>
      </w:pPr>
      <w:r>
        <w:separator/>
      </w:r>
    </w:p>
  </w:endnote>
  <w:endnote w:type="continuationSeparator" w:id="0">
    <w:p w14:paraId="66633EF8" w14:textId="77777777" w:rsidR="004C7EEA" w:rsidRDefault="004C7EEA" w:rsidP="00C41B0F">
      <w:pPr>
        <w:spacing w:after="0" w:line="240" w:lineRule="auto"/>
      </w:pPr>
      <w:r>
        <w:continuationSeparator/>
      </w:r>
    </w:p>
  </w:endnote>
  <w:endnote w:type="continuationNotice" w:id="1">
    <w:p w14:paraId="55A74EAA" w14:textId="77777777" w:rsidR="004C7EEA" w:rsidRDefault="004C7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1B07" w14:textId="77777777" w:rsidR="004C7EEA" w:rsidRDefault="004C7EEA" w:rsidP="00C41B0F">
      <w:pPr>
        <w:spacing w:after="0" w:line="240" w:lineRule="auto"/>
      </w:pPr>
      <w:r>
        <w:separator/>
      </w:r>
    </w:p>
  </w:footnote>
  <w:footnote w:type="continuationSeparator" w:id="0">
    <w:p w14:paraId="091038DA" w14:textId="77777777" w:rsidR="004C7EEA" w:rsidRDefault="004C7EEA" w:rsidP="00C41B0F">
      <w:pPr>
        <w:spacing w:after="0" w:line="240" w:lineRule="auto"/>
      </w:pPr>
      <w:r>
        <w:continuationSeparator/>
      </w:r>
    </w:p>
  </w:footnote>
  <w:footnote w:type="continuationNotice" w:id="1">
    <w:p w14:paraId="178120F3" w14:textId="77777777" w:rsidR="004C7EEA" w:rsidRDefault="004C7E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7F64"/>
    <w:multiLevelType w:val="hybridMultilevel"/>
    <w:tmpl w:val="FA88BB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850"/>
    <w:multiLevelType w:val="hybridMultilevel"/>
    <w:tmpl w:val="E71A8F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3F18"/>
    <w:multiLevelType w:val="hybridMultilevel"/>
    <w:tmpl w:val="56A8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65FFD"/>
    <w:multiLevelType w:val="hybridMultilevel"/>
    <w:tmpl w:val="E0AE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4424"/>
    <w:multiLevelType w:val="hybridMultilevel"/>
    <w:tmpl w:val="004CCE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229D0"/>
    <w:multiLevelType w:val="hybridMultilevel"/>
    <w:tmpl w:val="942CEA1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37D5CFF"/>
    <w:multiLevelType w:val="hybridMultilevel"/>
    <w:tmpl w:val="FA16E3F4"/>
    <w:lvl w:ilvl="0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80B2066"/>
    <w:multiLevelType w:val="hybridMultilevel"/>
    <w:tmpl w:val="43C2B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C7C4A"/>
    <w:multiLevelType w:val="hybridMultilevel"/>
    <w:tmpl w:val="F154C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06E64"/>
    <w:multiLevelType w:val="hybridMultilevel"/>
    <w:tmpl w:val="6916DB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2B81"/>
    <w:multiLevelType w:val="hybridMultilevel"/>
    <w:tmpl w:val="58B0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76522"/>
    <w:multiLevelType w:val="hybridMultilevel"/>
    <w:tmpl w:val="1E90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15E23"/>
    <w:multiLevelType w:val="hybridMultilevel"/>
    <w:tmpl w:val="5F84CD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53E08"/>
    <w:multiLevelType w:val="hybridMultilevel"/>
    <w:tmpl w:val="E40C6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76735"/>
    <w:multiLevelType w:val="hybridMultilevel"/>
    <w:tmpl w:val="36F49C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264AD"/>
    <w:multiLevelType w:val="hybridMultilevel"/>
    <w:tmpl w:val="1616A99C"/>
    <w:lvl w:ilvl="0" w:tplc="53567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CA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888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C3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0F7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322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04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EC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261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A7321"/>
    <w:multiLevelType w:val="hybridMultilevel"/>
    <w:tmpl w:val="20026B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852D7"/>
    <w:multiLevelType w:val="hybridMultilevel"/>
    <w:tmpl w:val="E3D2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A0BFC"/>
    <w:multiLevelType w:val="hybridMultilevel"/>
    <w:tmpl w:val="E0AE0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53A0E"/>
    <w:multiLevelType w:val="hybridMultilevel"/>
    <w:tmpl w:val="CFAA5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13"/>
  </w:num>
  <w:num w:numId="8">
    <w:abstractNumId w:val="9"/>
  </w:num>
  <w:num w:numId="9">
    <w:abstractNumId w:val="16"/>
  </w:num>
  <w:num w:numId="10">
    <w:abstractNumId w:val="14"/>
  </w:num>
  <w:num w:numId="11">
    <w:abstractNumId w:val="18"/>
  </w:num>
  <w:num w:numId="12">
    <w:abstractNumId w:val="1"/>
  </w:num>
  <w:num w:numId="13">
    <w:abstractNumId w:val="1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C5E00A2A-6E23-4D01-9E32-E9EE4932CC7B}"/>
    <w:docVar w:name="dgnword-eventsink" w:val="314440024"/>
  </w:docVars>
  <w:rsids>
    <w:rsidRoot w:val="002A5A2E"/>
    <w:rsid w:val="0000039E"/>
    <w:rsid w:val="000066EF"/>
    <w:rsid w:val="00014374"/>
    <w:rsid w:val="000200F1"/>
    <w:rsid w:val="0003030A"/>
    <w:rsid w:val="00034258"/>
    <w:rsid w:val="00037020"/>
    <w:rsid w:val="000406A6"/>
    <w:rsid w:val="00042226"/>
    <w:rsid w:val="000518BE"/>
    <w:rsid w:val="0005399E"/>
    <w:rsid w:val="00054BCE"/>
    <w:rsid w:val="00071508"/>
    <w:rsid w:val="00072DFC"/>
    <w:rsid w:val="00087C10"/>
    <w:rsid w:val="000A1AB3"/>
    <w:rsid w:val="000B1AA0"/>
    <w:rsid w:val="000B2527"/>
    <w:rsid w:val="000C0A40"/>
    <w:rsid w:val="000C1CA3"/>
    <w:rsid w:val="000C7B9A"/>
    <w:rsid w:val="000D0092"/>
    <w:rsid w:val="000F1020"/>
    <w:rsid w:val="00115440"/>
    <w:rsid w:val="00123022"/>
    <w:rsid w:val="00123EAB"/>
    <w:rsid w:val="00125903"/>
    <w:rsid w:val="001260CD"/>
    <w:rsid w:val="00150E3D"/>
    <w:rsid w:val="0015677D"/>
    <w:rsid w:val="00163D74"/>
    <w:rsid w:val="00173CED"/>
    <w:rsid w:val="0017712F"/>
    <w:rsid w:val="001A4338"/>
    <w:rsid w:val="001B0057"/>
    <w:rsid w:val="001B0B00"/>
    <w:rsid w:val="001B1F56"/>
    <w:rsid w:val="001B6D36"/>
    <w:rsid w:val="001B78B6"/>
    <w:rsid w:val="001C2115"/>
    <w:rsid w:val="001D2C7D"/>
    <w:rsid w:val="001D3E90"/>
    <w:rsid w:val="001E07BA"/>
    <w:rsid w:val="001E5A00"/>
    <w:rsid w:val="001F240E"/>
    <w:rsid w:val="0020528A"/>
    <w:rsid w:val="0021223A"/>
    <w:rsid w:val="00213B80"/>
    <w:rsid w:val="00221294"/>
    <w:rsid w:val="00242202"/>
    <w:rsid w:val="00242586"/>
    <w:rsid w:val="00244829"/>
    <w:rsid w:val="00257571"/>
    <w:rsid w:val="002700CC"/>
    <w:rsid w:val="00291B12"/>
    <w:rsid w:val="00293A40"/>
    <w:rsid w:val="002A1122"/>
    <w:rsid w:val="002A1B6C"/>
    <w:rsid w:val="002A1BCB"/>
    <w:rsid w:val="002A4121"/>
    <w:rsid w:val="002A5A2E"/>
    <w:rsid w:val="002C2D96"/>
    <w:rsid w:val="002C3E31"/>
    <w:rsid w:val="002D5842"/>
    <w:rsid w:val="002E1D2E"/>
    <w:rsid w:val="002F5A34"/>
    <w:rsid w:val="00305EB6"/>
    <w:rsid w:val="003062C1"/>
    <w:rsid w:val="00315078"/>
    <w:rsid w:val="0031564F"/>
    <w:rsid w:val="0032388A"/>
    <w:rsid w:val="00324B7E"/>
    <w:rsid w:val="003253EF"/>
    <w:rsid w:val="0034176C"/>
    <w:rsid w:val="00341C4B"/>
    <w:rsid w:val="003439EB"/>
    <w:rsid w:val="003462AE"/>
    <w:rsid w:val="00351F9F"/>
    <w:rsid w:val="00352949"/>
    <w:rsid w:val="00362817"/>
    <w:rsid w:val="00362D23"/>
    <w:rsid w:val="0038749A"/>
    <w:rsid w:val="00397C9D"/>
    <w:rsid w:val="003B02A2"/>
    <w:rsid w:val="003B0B7A"/>
    <w:rsid w:val="003B69FA"/>
    <w:rsid w:val="003D25C0"/>
    <w:rsid w:val="003E1017"/>
    <w:rsid w:val="003F5FA1"/>
    <w:rsid w:val="00414479"/>
    <w:rsid w:val="0041790A"/>
    <w:rsid w:val="00445CB4"/>
    <w:rsid w:val="00447B81"/>
    <w:rsid w:val="00452D6C"/>
    <w:rsid w:val="004537F3"/>
    <w:rsid w:val="0048027A"/>
    <w:rsid w:val="0048244B"/>
    <w:rsid w:val="004906A2"/>
    <w:rsid w:val="004913AA"/>
    <w:rsid w:val="00495CAE"/>
    <w:rsid w:val="004A5870"/>
    <w:rsid w:val="004C7EEA"/>
    <w:rsid w:val="004D06F4"/>
    <w:rsid w:val="004F5940"/>
    <w:rsid w:val="005000C3"/>
    <w:rsid w:val="00501899"/>
    <w:rsid w:val="00507831"/>
    <w:rsid w:val="00514378"/>
    <w:rsid w:val="005339DF"/>
    <w:rsid w:val="00540741"/>
    <w:rsid w:val="00540BFD"/>
    <w:rsid w:val="00542F9B"/>
    <w:rsid w:val="00544D23"/>
    <w:rsid w:val="00560AA4"/>
    <w:rsid w:val="00567EB8"/>
    <w:rsid w:val="00582CE4"/>
    <w:rsid w:val="005A2D63"/>
    <w:rsid w:val="005B45CF"/>
    <w:rsid w:val="005B5ACB"/>
    <w:rsid w:val="005C3055"/>
    <w:rsid w:val="005F666A"/>
    <w:rsid w:val="00601208"/>
    <w:rsid w:val="00621321"/>
    <w:rsid w:val="0062733F"/>
    <w:rsid w:val="00631CF7"/>
    <w:rsid w:val="00634877"/>
    <w:rsid w:val="00635DC3"/>
    <w:rsid w:val="00650F84"/>
    <w:rsid w:val="00657863"/>
    <w:rsid w:val="0066577C"/>
    <w:rsid w:val="006659D8"/>
    <w:rsid w:val="006722D3"/>
    <w:rsid w:val="00680E39"/>
    <w:rsid w:val="006A61D8"/>
    <w:rsid w:val="006A69A1"/>
    <w:rsid w:val="006A70E1"/>
    <w:rsid w:val="006B6821"/>
    <w:rsid w:val="006C0777"/>
    <w:rsid w:val="006C0FEE"/>
    <w:rsid w:val="006D7103"/>
    <w:rsid w:val="006E14D1"/>
    <w:rsid w:val="006E2231"/>
    <w:rsid w:val="006F0DBC"/>
    <w:rsid w:val="007029C7"/>
    <w:rsid w:val="0072072B"/>
    <w:rsid w:val="0073069A"/>
    <w:rsid w:val="00732AEC"/>
    <w:rsid w:val="00733CB4"/>
    <w:rsid w:val="0074402C"/>
    <w:rsid w:val="007524F5"/>
    <w:rsid w:val="007564AC"/>
    <w:rsid w:val="007A4D03"/>
    <w:rsid w:val="007A566E"/>
    <w:rsid w:val="007B0151"/>
    <w:rsid w:val="007D4504"/>
    <w:rsid w:val="007E6F00"/>
    <w:rsid w:val="007F1AE8"/>
    <w:rsid w:val="007F5498"/>
    <w:rsid w:val="007F76CD"/>
    <w:rsid w:val="00802C71"/>
    <w:rsid w:val="00821712"/>
    <w:rsid w:val="00822CB2"/>
    <w:rsid w:val="00825A12"/>
    <w:rsid w:val="008315B8"/>
    <w:rsid w:val="00831ED2"/>
    <w:rsid w:val="00835902"/>
    <w:rsid w:val="008454CE"/>
    <w:rsid w:val="008474A5"/>
    <w:rsid w:val="00864E90"/>
    <w:rsid w:val="008702C3"/>
    <w:rsid w:val="00874410"/>
    <w:rsid w:val="00877B0A"/>
    <w:rsid w:val="008A3367"/>
    <w:rsid w:val="008B1DC0"/>
    <w:rsid w:val="008C2FCC"/>
    <w:rsid w:val="008D3B8A"/>
    <w:rsid w:val="008D634F"/>
    <w:rsid w:val="008E2C55"/>
    <w:rsid w:val="008E604D"/>
    <w:rsid w:val="008E6A5F"/>
    <w:rsid w:val="008F5E66"/>
    <w:rsid w:val="009010CF"/>
    <w:rsid w:val="00901AE9"/>
    <w:rsid w:val="0090384F"/>
    <w:rsid w:val="009113CF"/>
    <w:rsid w:val="00920F2D"/>
    <w:rsid w:val="00930521"/>
    <w:rsid w:val="009408EC"/>
    <w:rsid w:val="00944AB4"/>
    <w:rsid w:val="00956580"/>
    <w:rsid w:val="00957F7F"/>
    <w:rsid w:val="00966F12"/>
    <w:rsid w:val="00971599"/>
    <w:rsid w:val="00983731"/>
    <w:rsid w:val="00986AE0"/>
    <w:rsid w:val="00991FF2"/>
    <w:rsid w:val="00993BD1"/>
    <w:rsid w:val="009A469C"/>
    <w:rsid w:val="009B1B81"/>
    <w:rsid w:val="009B3B25"/>
    <w:rsid w:val="009C0C90"/>
    <w:rsid w:val="009C49D0"/>
    <w:rsid w:val="009D26B0"/>
    <w:rsid w:val="009D375F"/>
    <w:rsid w:val="00A01735"/>
    <w:rsid w:val="00A135EA"/>
    <w:rsid w:val="00A267EF"/>
    <w:rsid w:val="00A36A7C"/>
    <w:rsid w:val="00A40240"/>
    <w:rsid w:val="00A54F58"/>
    <w:rsid w:val="00A56534"/>
    <w:rsid w:val="00A7160A"/>
    <w:rsid w:val="00A772B3"/>
    <w:rsid w:val="00A808A9"/>
    <w:rsid w:val="00A858D8"/>
    <w:rsid w:val="00A92155"/>
    <w:rsid w:val="00A95C4C"/>
    <w:rsid w:val="00AA10B0"/>
    <w:rsid w:val="00AA381A"/>
    <w:rsid w:val="00AB3983"/>
    <w:rsid w:val="00AB3D06"/>
    <w:rsid w:val="00AB6DC6"/>
    <w:rsid w:val="00AC7BEE"/>
    <w:rsid w:val="00AD18FB"/>
    <w:rsid w:val="00AD5EEF"/>
    <w:rsid w:val="00AD6625"/>
    <w:rsid w:val="00AD7F57"/>
    <w:rsid w:val="00AE2151"/>
    <w:rsid w:val="00AE64B8"/>
    <w:rsid w:val="00AE7B66"/>
    <w:rsid w:val="00B1457C"/>
    <w:rsid w:val="00B15E74"/>
    <w:rsid w:val="00B20FCE"/>
    <w:rsid w:val="00B26536"/>
    <w:rsid w:val="00B313EC"/>
    <w:rsid w:val="00B31FED"/>
    <w:rsid w:val="00B42BA4"/>
    <w:rsid w:val="00B42DBC"/>
    <w:rsid w:val="00B4783F"/>
    <w:rsid w:val="00B571EF"/>
    <w:rsid w:val="00B72CD1"/>
    <w:rsid w:val="00B73C3F"/>
    <w:rsid w:val="00B74CDF"/>
    <w:rsid w:val="00B77D55"/>
    <w:rsid w:val="00B81606"/>
    <w:rsid w:val="00B8272D"/>
    <w:rsid w:val="00B86D23"/>
    <w:rsid w:val="00B95667"/>
    <w:rsid w:val="00B96E8D"/>
    <w:rsid w:val="00B97F51"/>
    <w:rsid w:val="00BA0526"/>
    <w:rsid w:val="00BA7274"/>
    <w:rsid w:val="00BA752F"/>
    <w:rsid w:val="00BB023E"/>
    <w:rsid w:val="00BB5481"/>
    <w:rsid w:val="00BD4629"/>
    <w:rsid w:val="00BD72DB"/>
    <w:rsid w:val="00BE2088"/>
    <w:rsid w:val="00BF4296"/>
    <w:rsid w:val="00C014FE"/>
    <w:rsid w:val="00C02275"/>
    <w:rsid w:val="00C02A00"/>
    <w:rsid w:val="00C065BB"/>
    <w:rsid w:val="00C100CB"/>
    <w:rsid w:val="00C12965"/>
    <w:rsid w:val="00C16026"/>
    <w:rsid w:val="00C419EB"/>
    <w:rsid w:val="00C41B0F"/>
    <w:rsid w:val="00C43C5E"/>
    <w:rsid w:val="00C53623"/>
    <w:rsid w:val="00C54E0F"/>
    <w:rsid w:val="00C57A57"/>
    <w:rsid w:val="00C57F63"/>
    <w:rsid w:val="00C60773"/>
    <w:rsid w:val="00C771CB"/>
    <w:rsid w:val="00C8426E"/>
    <w:rsid w:val="00C94A78"/>
    <w:rsid w:val="00CA42E8"/>
    <w:rsid w:val="00CA49C4"/>
    <w:rsid w:val="00CB2785"/>
    <w:rsid w:val="00CB5428"/>
    <w:rsid w:val="00CC270D"/>
    <w:rsid w:val="00CC2E99"/>
    <w:rsid w:val="00CC4E7B"/>
    <w:rsid w:val="00CC52C4"/>
    <w:rsid w:val="00CE20FF"/>
    <w:rsid w:val="00CE6B2C"/>
    <w:rsid w:val="00CF4EF1"/>
    <w:rsid w:val="00D0038B"/>
    <w:rsid w:val="00D1133C"/>
    <w:rsid w:val="00D12C34"/>
    <w:rsid w:val="00D25006"/>
    <w:rsid w:val="00D3051C"/>
    <w:rsid w:val="00D30BEF"/>
    <w:rsid w:val="00D33EAA"/>
    <w:rsid w:val="00D36410"/>
    <w:rsid w:val="00D45809"/>
    <w:rsid w:val="00D50406"/>
    <w:rsid w:val="00D507D9"/>
    <w:rsid w:val="00D51F0F"/>
    <w:rsid w:val="00D56EAB"/>
    <w:rsid w:val="00D63FFB"/>
    <w:rsid w:val="00D65833"/>
    <w:rsid w:val="00D6640C"/>
    <w:rsid w:val="00D81DD0"/>
    <w:rsid w:val="00D86BD7"/>
    <w:rsid w:val="00D94BC6"/>
    <w:rsid w:val="00DB045B"/>
    <w:rsid w:val="00DB47BF"/>
    <w:rsid w:val="00DC03DB"/>
    <w:rsid w:val="00DD417D"/>
    <w:rsid w:val="00DE4ED9"/>
    <w:rsid w:val="00DF778A"/>
    <w:rsid w:val="00E05E72"/>
    <w:rsid w:val="00E11E07"/>
    <w:rsid w:val="00E137F2"/>
    <w:rsid w:val="00E14613"/>
    <w:rsid w:val="00E3214C"/>
    <w:rsid w:val="00E3698A"/>
    <w:rsid w:val="00E440B2"/>
    <w:rsid w:val="00E4773B"/>
    <w:rsid w:val="00E52B1F"/>
    <w:rsid w:val="00E6187D"/>
    <w:rsid w:val="00E625F5"/>
    <w:rsid w:val="00E63558"/>
    <w:rsid w:val="00E74944"/>
    <w:rsid w:val="00E818D8"/>
    <w:rsid w:val="00E85C96"/>
    <w:rsid w:val="00E94E37"/>
    <w:rsid w:val="00E967D0"/>
    <w:rsid w:val="00EA2E12"/>
    <w:rsid w:val="00EB0192"/>
    <w:rsid w:val="00EC370F"/>
    <w:rsid w:val="00EC79EE"/>
    <w:rsid w:val="00ED50BB"/>
    <w:rsid w:val="00ED5D71"/>
    <w:rsid w:val="00EE2D95"/>
    <w:rsid w:val="00EE482B"/>
    <w:rsid w:val="00F016B3"/>
    <w:rsid w:val="00F07F65"/>
    <w:rsid w:val="00F127F1"/>
    <w:rsid w:val="00F15595"/>
    <w:rsid w:val="00F27677"/>
    <w:rsid w:val="00F31C3D"/>
    <w:rsid w:val="00F34C5C"/>
    <w:rsid w:val="00F40E37"/>
    <w:rsid w:val="00F416CD"/>
    <w:rsid w:val="00F56F0B"/>
    <w:rsid w:val="00F67E59"/>
    <w:rsid w:val="00FA43F5"/>
    <w:rsid w:val="00FA6684"/>
    <w:rsid w:val="00FC7AEB"/>
    <w:rsid w:val="00FD0B92"/>
    <w:rsid w:val="00FD3BBF"/>
    <w:rsid w:val="00FD4995"/>
    <w:rsid w:val="00FD6785"/>
    <w:rsid w:val="00FD7C77"/>
    <w:rsid w:val="00FF2EC5"/>
    <w:rsid w:val="00FF34C5"/>
    <w:rsid w:val="032F0BB8"/>
    <w:rsid w:val="0C19A7B8"/>
    <w:rsid w:val="0C5ACDF5"/>
    <w:rsid w:val="15F075EA"/>
    <w:rsid w:val="1A7F40DA"/>
    <w:rsid w:val="1B1637B5"/>
    <w:rsid w:val="220EF217"/>
    <w:rsid w:val="2B86ABCC"/>
    <w:rsid w:val="382DABE0"/>
    <w:rsid w:val="3A6AD44A"/>
    <w:rsid w:val="3C06A4AB"/>
    <w:rsid w:val="557D0D1E"/>
    <w:rsid w:val="5B2EA5A7"/>
    <w:rsid w:val="5F46E12F"/>
    <w:rsid w:val="61ABBD3E"/>
    <w:rsid w:val="61C9804B"/>
    <w:rsid w:val="62B8A235"/>
    <w:rsid w:val="6FA9582F"/>
    <w:rsid w:val="7C088D58"/>
    <w:rsid w:val="7E17D295"/>
    <w:rsid w:val="7F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D0DE7"/>
  <w15:chartTrackingRefBased/>
  <w15:docId w15:val="{86E3658F-9F81-4EA2-B4D6-2136E217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625"/>
    <w:pPr>
      <w:keepNext/>
      <w:keepLines/>
      <w:spacing w:before="240" w:after="0"/>
      <w:outlineLvl w:val="0"/>
    </w:pPr>
    <w:rPr>
      <w:rFonts w:eastAsiaTheme="majorEastAsia" w:cstheme="majorBidi"/>
      <w:color w:val="7FA9AE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EC5"/>
    <w:pPr>
      <w:keepNext/>
      <w:keepLines/>
      <w:spacing w:after="240"/>
      <w:outlineLvl w:val="1"/>
    </w:pPr>
    <w:rPr>
      <w:rFonts w:eastAsiaTheme="majorEastAsia" w:cstheme="majorBidi"/>
      <w:color w:val="7FA9AE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877"/>
    <w:pPr>
      <w:keepNext/>
      <w:keepLines/>
      <w:spacing w:before="40" w:after="0"/>
      <w:outlineLvl w:val="2"/>
    </w:pPr>
    <w:rPr>
      <w:rFonts w:eastAsiaTheme="majorEastAsia" w:cstheme="majorBidi"/>
      <w:color w:val="7FA9AE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877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FA9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5E7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D6625"/>
    <w:rPr>
      <w:rFonts w:ascii="Arial" w:eastAsiaTheme="majorEastAsia" w:hAnsi="Arial" w:cstheme="majorBidi"/>
      <w:color w:val="7FA9AE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EC5"/>
    <w:rPr>
      <w:rFonts w:ascii="Arial" w:eastAsiaTheme="majorEastAsia" w:hAnsi="Arial" w:cstheme="majorBidi"/>
      <w:color w:val="7FA9AE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15E7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E74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34877"/>
    <w:rPr>
      <w:rFonts w:ascii="Arial" w:eastAsiaTheme="majorEastAsia" w:hAnsi="Arial" w:cstheme="majorBidi"/>
      <w:color w:val="7FA9AE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E74"/>
    <w:pPr>
      <w:numPr>
        <w:ilvl w:val="1"/>
      </w:numPr>
    </w:pPr>
    <w:rPr>
      <w:rFonts w:eastAsiaTheme="minorEastAsia"/>
      <w:color w:val="4D4D4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15E74"/>
    <w:rPr>
      <w:rFonts w:ascii="Arial" w:eastAsiaTheme="minorEastAsia" w:hAnsi="Arial"/>
      <w:color w:val="4D4D4F"/>
      <w:spacing w:val="15"/>
    </w:rPr>
  </w:style>
  <w:style w:type="character" w:styleId="SubtleEmphasis">
    <w:name w:val="Subtle Emphasis"/>
    <w:basedOn w:val="DefaultParagraphFont"/>
    <w:uiPriority w:val="19"/>
    <w:qFormat/>
    <w:rsid w:val="00C94A7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4A7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C2E99"/>
    <w:rPr>
      <w:i/>
      <w:iCs/>
      <w:color w:val="7FA9AE"/>
    </w:rPr>
  </w:style>
  <w:style w:type="character" w:styleId="Strong">
    <w:name w:val="Strong"/>
    <w:basedOn w:val="DefaultParagraphFont"/>
    <w:uiPriority w:val="22"/>
    <w:qFormat/>
    <w:rsid w:val="00C94A7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4A78"/>
    <w:pPr>
      <w:spacing w:before="200"/>
      <w:ind w:left="864" w:right="864"/>
      <w:jc w:val="center"/>
    </w:pPr>
    <w:rPr>
      <w:i/>
      <w:iCs/>
      <w:color w:val="4D4D4F"/>
    </w:rPr>
  </w:style>
  <w:style w:type="character" w:customStyle="1" w:styleId="QuoteChar">
    <w:name w:val="Quote Char"/>
    <w:basedOn w:val="DefaultParagraphFont"/>
    <w:link w:val="Quote"/>
    <w:uiPriority w:val="29"/>
    <w:rsid w:val="00C94A78"/>
    <w:rPr>
      <w:rFonts w:ascii="Arial" w:hAnsi="Arial"/>
      <w:i/>
      <w:iCs/>
      <w:color w:val="4D4D4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A7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FA9A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A78"/>
    <w:rPr>
      <w:rFonts w:ascii="Arial" w:hAnsi="Arial"/>
      <w:i/>
      <w:iCs/>
      <w:color w:val="7FA9AE"/>
    </w:rPr>
  </w:style>
  <w:style w:type="character" w:styleId="SubtleReference">
    <w:name w:val="Subtle Reference"/>
    <w:basedOn w:val="DefaultParagraphFont"/>
    <w:uiPriority w:val="31"/>
    <w:qFormat/>
    <w:rsid w:val="00C94A7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4A78"/>
    <w:rPr>
      <w:b/>
      <w:bCs/>
      <w:smallCaps/>
      <w:color w:val="7FA9AE"/>
      <w:spacing w:val="5"/>
    </w:rPr>
  </w:style>
  <w:style w:type="character" w:styleId="BookTitle">
    <w:name w:val="Book Title"/>
    <w:basedOn w:val="DefaultParagraphFont"/>
    <w:uiPriority w:val="33"/>
    <w:qFormat/>
    <w:rsid w:val="00C94A78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4A7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34877"/>
    <w:rPr>
      <w:rFonts w:ascii="Arial" w:eastAsiaTheme="majorEastAsia" w:hAnsi="Arial" w:cstheme="majorBidi"/>
      <w:i/>
      <w:iCs/>
      <w:color w:val="7FA9AE"/>
    </w:rPr>
  </w:style>
  <w:style w:type="character" w:styleId="Hyperlink">
    <w:name w:val="Hyperlink"/>
    <w:uiPriority w:val="99"/>
    <w:rsid w:val="00C41B0F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4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1B0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1B0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B0F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B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0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B0F"/>
    <w:pPr>
      <w:spacing w:after="160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B0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B0A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B0A"/>
    <w:rPr>
      <w:rFonts w:ascii="Arial" w:hAnsi="Arial"/>
    </w:rPr>
  </w:style>
  <w:style w:type="character" w:styleId="UnresolvedMention">
    <w:name w:val="Unresolved Mention"/>
    <w:basedOn w:val="DefaultParagraphFont"/>
    <w:uiPriority w:val="99"/>
    <w:unhideWhenUsed/>
    <w:rsid w:val="00C01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014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4FF7E5A7174AA0CADF7BFDE593D7" ma:contentTypeVersion="6" ma:contentTypeDescription="Create a new document." ma:contentTypeScope="" ma:versionID="4b557437d30ce1fb95dc582b33822155">
  <xsd:schema xmlns:xsd="http://www.w3.org/2001/XMLSchema" xmlns:xs="http://www.w3.org/2001/XMLSchema" xmlns:p="http://schemas.microsoft.com/office/2006/metadata/properties" xmlns:ns2="175f2bb9-7ea2-4dfb-aa70-2a37afa654a9" xmlns:ns3="bc2de261-d455-4aa8-8045-ab467327425b" targetNamespace="http://schemas.microsoft.com/office/2006/metadata/properties" ma:root="true" ma:fieldsID="0d6016aae0be466730f3933da3678b6c" ns2:_="" ns3:_="">
    <xsd:import namespace="175f2bb9-7ea2-4dfb-aa70-2a37afa654a9"/>
    <xsd:import namespace="bc2de261-d455-4aa8-8045-ab4673274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f2bb9-7ea2-4dfb-aa70-2a37afa65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de261-d455-4aa8-8045-ab46732742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69F5-5F62-4B73-8C1A-377C2DB00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f2bb9-7ea2-4dfb-aa70-2a37afa654a9"/>
    <ds:schemaRef ds:uri="bc2de261-d455-4aa8-8045-ab4673274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DC260-CF28-4345-BA14-C61617A30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E766A-77B5-40F9-87BD-61FEA8C8090E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bc2de261-d455-4aa8-8045-ab467327425b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75f2bb9-7ea2-4dfb-aa70-2a37afa654a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Koseva</dc:creator>
  <cp:keywords/>
  <dc:description/>
  <cp:lastModifiedBy>Dale</cp:lastModifiedBy>
  <cp:revision>348</cp:revision>
  <dcterms:created xsi:type="dcterms:W3CDTF">2020-06-26T21:21:00Z</dcterms:created>
  <dcterms:modified xsi:type="dcterms:W3CDTF">2021-08-23T16:45:00Z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0x01010097984FF7E5A7174AA0CADF7BFDE593D7</vt:lpwstr>
  </property>
</Properties>
</file>